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72" w:rsidRDefault="00095E15">
      <w:pPr>
        <w:pStyle w:val="1"/>
        <w:spacing w:after="620" w:line="240" w:lineRule="auto"/>
        <w:ind w:firstLine="0"/>
        <w:jc w:val="center"/>
      </w:pPr>
      <w:bookmarkStart w:id="0" w:name="_GoBack"/>
      <w:bookmarkEnd w:id="0"/>
      <w:r>
        <w:rPr>
          <w:rStyle w:val="a3"/>
          <w:b/>
          <w:bCs/>
        </w:rPr>
        <w:t xml:space="preserve">Анкета в рамках оценки научно-технического уровня технического регламента Таможенного </w:t>
      </w:r>
      <w:proofErr w:type="gramStart"/>
      <w:r>
        <w:rPr>
          <w:rStyle w:val="a3"/>
          <w:b/>
          <w:bCs/>
        </w:rPr>
        <w:t>союза</w:t>
      </w:r>
      <w:r>
        <w:rPr>
          <w:rStyle w:val="a3"/>
          <w:b/>
          <w:bCs/>
        </w:rPr>
        <w:br/>
        <w:t>«</w:t>
      </w:r>
      <w:proofErr w:type="gramEnd"/>
      <w:r>
        <w:rPr>
          <w:rStyle w:val="a3"/>
          <w:b/>
          <w:bCs/>
        </w:rPr>
        <w:t>Технический регламент на соковую продукцию из фруктов и овощей» (ТР ТС 023/2011)</w:t>
      </w:r>
    </w:p>
    <w:p w:rsidR="00D83572" w:rsidRDefault="00095E15">
      <w:pPr>
        <w:pStyle w:val="a5"/>
        <w:ind w:left="3816"/>
        <w:rPr>
          <w:sz w:val="24"/>
          <w:szCs w:val="24"/>
        </w:rPr>
      </w:pPr>
      <w:r>
        <w:rPr>
          <w:rStyle w:val="a4"/>
          <w:sz w:val="24"/>
          <w:szCs w:val="24"/>
        </w:rPr>
        <w:t>(Наименование организации, заполнившей анкету, ИНН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7387"/>
      </w:tblGrid>
      <w:tr w:rsidR="00D83572" w:rsidTr="004F44D0">
        <w:trPr>
          <w:trHeight w:hRule="exact" w:val="658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Номер вопроса и его формулировки согласно анкете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095E15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Содержание ответа</w:t>
            </w:r>
          </w:p>
        </w:tc>
      </w:tr>
      <w:tr w:rsidR="00D83572" w:rsidTr="004F44D0">
        <w:trPr>
          <w:trHeight w:hRule="exact" w:val="97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1. Достаточность (избыточность), ясность (точность) понятий, используемых в ТР ТС 023/2011, для однозначного понимания его требований и положений.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65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B50" w:rsidRDefault="00095E15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2. Корректность определения области применения </w:t>
            </w:r>
          </w:p>
          <w:p w:rsidR="00D83572" w:rsidRDefault="00095E15">
            <w:pPr>
              <w:pStyle w:val="a7"/>
            </w:pPr>
            <w:r>
              <w:rPr>
                <w:rStyle w:val="a6"/>
              </w:rPr>
              <w:t>ТР ТС 023/2011.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130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B50" w:rsidRDefault="00095E15" w:rsidP="00A46B50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>3. Достаточность (избыточность)</w:t>
            </w:r>
          </w:p>
          <w:p w:rsidR="00D83572" w:rsidRDefault="00095E15" w:rsidP="00A46B50">
            <w:pPr>
              <w:pStyle w:val="a7"/>
            </w:pPr>
            <w:r>
              <w:rPr>
                <w:rStyle w:val="a6"/>
              </w:rPr>
              <w:t xml:space="preserve"> и обоснованность требований к соковой продукции из фруктов и овощей.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97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6B50" w:rsidRDefault="00095E15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4. Обеспеченность показателей, установленных в </w:t>
            </w:r>
          </w:p>
          <w:p w:rsidR="00D83572" w:rsidRDefault="00095E15">
            <w:pPr>
              <w:pStyle w:val="a7"/>
            </w:pPr>
            <w:r>
              <w:rPr>
                <w:rStyle w:val="a6"/>
              </w:rPr>
              <w:t>ТР ТС 023/2011, методами исследований (испытаний) и измерений.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1296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0941" w:rsidRDefault="00095E15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5. Достаточность (избыточность), установленных </w:t>
            </w:r>
          </w:p>
          <w:p w:rsidR="00D83572" w:rsidRDefault="00095E15">
            <w:pPr>
              <w:pStyle w:val="a7"/>
            </w:pPr>
            <w:r>
              <w:rPr>
                <w:rStyle w:val="a6"/>
              </w:rPr>
              <w:t>ТР ТС 023/2011 требований к маркировке продукции, в том числе в части предупреждения действий, вводящих</w:t>
            </w:r>
          </w:p>
          <w:p w:rsidR="00D83572" w:rsidRDefault="00095E15">
            <w:pPr>
              <w:pStyle w:val="a7"/>
            </w:pPr>
            <w:r>
              <w:rPr>
                <w:rStyle w:val="a6"/>
              </w:rPr>
              <w:t>в заблуждение потребителей.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65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6. Достаточность (избыточность) схем и форм оценки соответствия, предусмотренных ТР ТС 023/2011.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33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7. Обеспеченность необходимой испытательной базой.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 w:rsidTr="004F44D0">
        <w:trPr>
          <w:trHeight w:hRule="exact" w:val="989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0941" w:rsidRDefault="00095E15">
            <w:pPr>
              <w:pStyle w:val="a7"/>
              <w:rPr>
                <w:rStyle w:val="a6"/>
              </w:rPr>
            </w:pPr>
            <w:r>
              <w:rPr>
                <w:rStyle w:val="a6"/>
              </w:rPr>
              <w:t xml:space="preserve">8. Затруднения с поставками соковой продукции из фруктов и овощей, являющейся объектом технического регулирования </w:t>
            </w:r>
          </w:p>
          <w:p w:rsidR="00D83572" w:rsidRDefault="00095E15">
            <w:pPr>
              <w:pStyle w:val="a7"/>
            </w:pPr>
            <w:r>
              <w:rPr>
                <w:rStyle w:val="a6"/>
              </w:rPr>
              <w:t>ТР ТС 023/2011, в том числе в третьи</w:t>
            </w:r>
            <w:r w:rsidR="00C11449">
              <w:rPr>
                <w:rStyle w:val="a6"/>
              </w:rPr>
              <w:t xml:space="preserve"> 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</w:tbl>
    <w:p w:rsidR="00D83572" w:rsidRDefault="00095E1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5"/>
        <w:gridCol w:w="7450"/>
      </w:tblGrid>
      <w:tr w:rsidR="00D83572">
        <w:trPr>
          <w:trHeight w:hRule="exact" w:val="658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lastRenderedPageBreak/>
              <w:t xml:space="preserve">страны, обусловленные отличающимися обязательными требованиями к данной продукции </w:t>
            </w:r>
            <w:r w:rsidR="00DB0941">
              <w:rPr>
                <w:rStyle w:val="a6"/>
              </w:rPr>
              <w:t>в-третьих</w:t>
            </w:r>
            <w:r>
              <w:rPr>
                <w:rStyle w:val="a6"/>
              </w:rPr>
              <w:t xml:space="preserve"> странах.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2266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9. Содержащиеся в ТР ТС 023/2011 отсылочные нормы на законодательство государств-членов Евразийского экономического союза (далее - государство-член Союза), создающие препятствия для свободного движения товаров (соковой продукции из фруктов и овощей) в рамках функционирования внутреннего рынка Союза и их доступа на рынки государств-членов Союза.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2587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 w:rsidP="00C11449">
            <w:pPr>
              <w:pStyle w:val="a7"/>
              <w:spacing w:before="240"/>
            </w:pPr>
            <w:r>
              <w:rPr>
                <w:rStyle w:val="a6"/>
              </w:rPr>
              <w:t>10. Анализ перечней стандартов к ТР ТС 023/2011 на предмет наличия в них необходимых стандартов, обеспечивающих выполнение требований данного технического регламента, а также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данного технического регламента.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974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11. Наличие противоречий в ТР ТС 023/2011 с Договором о Евразийском экономическом союзе от 29 мая 2014 г., а также другими актами, составляющими право Союза.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653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12. Наличие правовых коллизий, а также опечаток (неточностей) в ТР ТС 023/2011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979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13. Наличие в ТР ТС 023/2011 противоречий с</w:t>
            </w:r>
          </w:p>
          <w:p w:rsidR="00D83572" w:rsidRDefault="00095E15">
            <w:pPr>
              <w:pStyle w:val="a7"/>
            </w:pPr>
            <w:r>
              <w:rPr>
                <w:rStyle w:val="a6"/>
              </w:rPr>
              <w:t xml:space="preserve">национальным законодательством государства-члена </w:t>
            </w:r>
            <w:proofErr w:type="gramStart"/>
            <w:r>
              <w:rPr>
                <w:rStyle w:val="a6"/>
              </w:rPr>
              <w:t>Союза.*</w:t>
            </w:r>
            <w:proofErr w:type="gramEnd"/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653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14. Обоснованные предложения по внесению изменений в программу по разработке межгосударственных стандартов.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662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t>15. Иные вопросы применения обязательных требований ТР ТС 023/2011, в том числе вызывающие затруднения при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  <w:tr w:rsidR="00D83572">
        <w:trPr>
          <w:trHeight w:hRule="exact" w:val="667"/>
          <w:jc w:val="center"/>
        </w:trPr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3572" w:rsidRDefault="00095E15">
            <w:pPr>
              <w:pStyle w:val="a7"/>
            </w:pPr>
            <w:r>
              <w:rPr>
                <w:rStyle w:val="a6"/>
              </w:rPr>
              <w:lastRenderedPageBreak/>
              <w:t>их реализации, по результатам правоприменительной практики данного технического регламента.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572" w:rsidRDefault="00D83572">
            <w:pPr>
              <w:rPr>
                <w:sz w:val="10"/>
                <w:szCs w:val="10"/>
              </w:rPr>
            </w:pPr>
          </w:p>
        </w:tc>
      </w:tr>
    </w:tbl>
    <w:p w:rsidR="00D83572" w:rsidRDefault="00095E15">
      <w:pPr>
        <w:pStyle w:val="a5"/>
        <w:ind w:left="624"/>
      </w:pPr>
      <w:r>
        <w:rPr>
          <w:rStyle w:val="a4"/>
        </w:rPr>
        <w:t>*Указание наличия противоречий с национальным законодательством государства-члена Союза, в котором</w:t>
      </w:r>
    </w:p>
    <w:p w:rsidR="00D83572" w:rsidRDefault="00095E15">
      <w:pPr>
        <w:pStyle w:val="1"/>
        <w:spacing w:after="660" w:line="240" w:lineRule="auto"/>
        <w:ind w:firstLine="0"/>
      </w:pPr>
      <w:r>
        <w:rPr>
          <w:rStyle w:val="a3"/>
        </w:rPr>
        <w:t>проводится анкетирование.</w:t>
      </w:r>
    </w:p>
    <w:sectPr w:rsidR="00D83572">
      <w:headerReference w:type="default" r:id="rId6"/>
      <w:headerReference w:type="first" r:id="rId7"/>
      <w:pgSz w:w="16840" w:h="11900" w:orient="landscape"/>
      <w:pgMar w:top="952" w:right="810" w:bottom="1179" w:left="111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DC" w:rsidRDefault="008472DC">
      <w:r>
        <w:separator/>
      </w:r>
    </w:p>
  </w:endnote>
  <w:endnote w:type="continuationSeparator" w:id="0">
    <w:p w:rsidR="008472DC" w:rsidRDefault="0084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DC" w:rsidRDefault="008472DC"/>
  </w:footnote>
  <w:footnote w:type="continuationSeparator" w:id="0">
    <w:p w:rsidR="008472DC" w:rsidRDefault="00847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72" w:rsidRDefault="00095E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5314315</wp:posOffset>
              </wp:positionH>
              <wp:positionV relativeFrom="page">
                <wp:posOffset>363855</wp:posOffset>
              </wp:positionV>
              <wp:extent cx="673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3572" w:rsidRDefault="00095E1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15604" w:rsidRPr="0051560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8.45pt;margin-top:28.65pt;width:5.3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" filled="f" stroked="f">
              <v:textbox style="mso-fit-shape-to-text:t" inset="0,0,0,0">
                <w:txbxContent>
                  <w:p w:rsidR="00D83572" w:rsidRDefault="00095E15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15604" w:rsidRPr="00515604">
                      <w:rPr>
                        <w:rStyle w:val="2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72" w:rsidRDefault="00D8357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72"/>
    <w:rsid w:val="00074C7D"/>
    <w:rsid w:val="00095E15"/>
    <w:rsid w:val="004F44D0"/>
    <w:rsid w:val="00515604"/>
    <w:rsid w:val="008472DC"/>
    <w:rsid w:val="00A46B50"/>
    <w:rsid w:val="00B84833"/>
    <w:rsid w:val="00BD26FB"/>
    <w:rsid w:val="00C11449"/>
    <w:rsid w:val="00D83572"/>
    <w:rsid w:val="00DB0941"/>
    <w:rsid w:val="00E8360E"/>
    <w:rsid w:val="00F55EF9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09C1A-EA08-4A39-BEB4-CFEE9D67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TMK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Демаков Игорь Леонидович</dc:creator>
  <cp:keywords/>
  <cp:lastModifiedBy>v.shyrokaya</cp:lastModifiedBy>
  <cp:revision>2</cp:revision>
  <dcterms:created xsi:type="dcterms:W3CDTF">2026-05-06T08:29:00Z</dcterms:created>
  <dcterms:modified xsi:type="dcterms:W3CDTF">2026-05-06T08:29:00Z</dcterms:modified>
</cp:coreProperties>
</file>